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16.06.2025 N 198</w:t>
              <w:br/>
              <w:t xml:space="preserve">"О внесении изменений в Федеральные нормы и правила в области промышленной безопасности "Правила безопасности при переработке, обогащении и брикетировании углей", утвержденные приказом Федеральной службы по экологическому, технологическому и атомному надзору от 28 октября 2020 г. N 428"</w:t>
              <w:br/>
              <w:t xml:space="preserve">(Зарегистрировано в Минюсте России 15.07.2025 N 82920)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15 июля 2025 г. N 82920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16 июня 2025 г. N 198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ФЕДЕРАЛЬНЫЕ НОРМЫ И ПРАВИЛА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 "ПРАВИЛА БЕЗОПАСНОСТИ ПРИ ПЕРЕРАБОТКЕ,</w:t>
      </w:r>
    </w:p>
    <w:p>
      <w:pPr>
        <w:pStyle w:val="2"/>
        <w:jc w:val="center"/>
      </w:pPr>
      <w:r>
        <w:rPr>
          <w:sz w:val="24"/>
        </w:rPr>
        <w:t xml:space="preserve">ОБОГАЩЕНИИ И БРИКЕТИРОВАНИИ УГЛЕЙ", УТВЕРЖДЕННЫЕ ПРИКАЗОМ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ОТ 28 ОКТЯБРЯ 2020 Г. N 428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9" w:tooltip="Постановление Правительства РФ от 30.07.2004 N 401 (ред. от 30.05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Внести изменения в Федеральные </w:t>
      </w:r>
      <w:hyperlink w:history="0" r:id="rId10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нормы и правила</w:t>
        </w:r>
      </w:hyperlink>
      <w:r>
        <w:rPr>
          <w:sz w:val="24"/>
        </w:rPr>
        <w:t xml:space="preserve"> в области промышленной безопасности "Правила безопасности при переработке, обогащении и брикетировании углей", утвержденные приказом Федеральной службы по экологическому, технологическому и атомному надзору от 28 октября 2020 г. N 428 (зарегистрирован Министерством юстиции Российской Федерации 21 декабря 2020 г., регистрационный N 61627), с изменениями, внесенными приказом Федеральной службы по экологическому, технологическому и атомному надзору от 27 декабря 2023 г. N 485 (зарегистрирован Министерством юстиции Российской Федерации 15 марта 2024 г., регистрационный N 77520), согласно </w:t>
      </w:r>
      <w:hyperlink w:history="0" w:anchor="P34" w:tooltip="ИЗМЕНЕНИЯ,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Настоящий приказ вступает в силу 1 сентября 2025 г. и действует до 1 января 2027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16 июня 2025 г. N 198</w:t>
      </w:r>
    </w:p>
    <w:p>
      <w:pPr>
        <w:pStyle w:val="0"/>
        <w:jc w:val="center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ФЕДЕРАЛЬНЫЕ НОРМЫ И ПРАВИЛА</w:t>
      </w:r>
    </w:p>
    <w:p>
      <w:pPr>
        <w:pStyle w:val="2"/>
        <w:jc w:val="center"/>
      </w:pPr>
      <w:r>
        <w:rPr>
          <w:sz w:val="24"/>
        </w:rPr>
        <w:t xml:space="preserve">В ОБЛАСТИ ПРОМЫШЛЕННОЙ БЕЗОПАСНОСТИ "ПРАВИЛА БЕЗОПАСНОСТИ</w:t>
      </w:r>
    </w:p>
    <w:p>
      <w:pPr>
        <w:pStyle w:val="2"/>
        <w:jc w:val="center"/>
      </w:pPr>
      <w:r>
        <w:rPr>
          <w:sz w:val="24"/>
        </w:rPr>
        <w:t xml:space="preserve">ПРИ ПЕРЕРАБОТКЕ, ОБОГАЩЕНИИ И БРИКЕТИРОВАНИИ УГЛЕЙ",</w:t>
      </w:r>
    </w:p>
    <w:p>
      <w:pPr>
        <w:pStyle w:val="2"/>
        <w:jc w:val="center"/>
      </w:pPr>
      <w:r>
        <w:rPr>
          <w:sz w:val="24"/>
        </w:rPr>
        <w:t xml:space="preserve">УТВЕРЖДЕННЫЕ ПРИКАЗОМ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ОТ 28 ОКТЯБРЯ 2020 Г. N 428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1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Пункт 11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"11. Технические устройства, обеспечивающие аспирацию, работу сушильных установок (далее - СУ), работу систем контроля и безопасности, а также средства обеспечения пожарной безопасности и пожаротушения &lt;1&gt; отключаются (останавливаются) для выполнения ремонтных работ по письменному разрешению главного инженера фабрики, о чем должны ставиться в известность диспетчерская или руководитель смены фабрики.".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</w:t>
      </w:r>
      <w:hyperlink w:history="0" r:id="rId12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сноской 1 к пункту 11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"&lt;1&gt; </w:t>
      </w:r>
      <w:hyperlink w:history="0" r:id="rId13" w:tooltip="Решение Совета Евразийской экономической комиссии от 23.06.2017 N 40 &quot;О техническом регламенте Евразийского экономического союза &quot;О требованиях к средствам обеспечения пожарной безопасности и пожаротушения&quot; (вместе с &quot;ТР ЕАЭС 043/2017. Технический регламент Евразийского экономического союза &quot;О требованиях к средствам обеспечения пожарной безопасности и пожаротушения&quot;) {КонсультантПлюс}">
        <w:r>
          <w:rPr>
            <w:sz w:val="24"/>
            <w:color w:val="0000ff"/>
          </w:rPr>
          <w:t xml:space="preserve">Абзац тридцать четвертый пункта 6</w:t>
        </w:r>
      </w:hyperlink>
      <w:r>
        <w:rPr>
          <w:sz w:val="24"/>
        </w:rPr>
        <w:t xml:space="preserve">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принятого Решением Совета Евразийской экономической комиссии от 23 июня 2017 г. N 40 (Решение вступило в силу для Российской Федерации 23 августа 2017 г.). Данный </w:t>
      </w:r>
      <w:hyperlink w:history="0" r:id="rId14" w:tooltip="Решение Совета Евразийской экономической комиссии от 23.06.2017 N 40 &quot;О техническом регламенте Евразийского экономического союза &quot;О требованиях к средствам обеспечения пожарной безопасности и пожаротушения&quot; (вместе с &quot;ТР ЕАЭС 043/2017. Технический регламент Евразийского экономического союза &quot;О требованиях к средствам обеспечения пожарной безопасности и пожаротушения&quot;) {КонсультантПлюс}">
        <w:r>
          <w:rPr>
            <w:sz w:val="24"/>
            <w:color w:val="0000ff"/>
          </w:rPr>
          <w:t xml:space="preserve">акт</w:t>
        </w:r>
      </w:hyperlink>
      <w:r>
        <w:rPr>
          <w:sz w:val="24"/>
        </w:rPr>
        <w:t xml:space="preserve"> является обязательным для Российской Федерации в соответствии с </w:t>
      </w:r>
      <w:hyperlink w:history="0" r:id="rId1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sz w:val="24"/>
            <w:color w:val="0000ff"/>
          </w:rPr>
          <w:t xml:space="preserve">Договором</w:t>
        </w:r>
      </w:hyperlink>
      <w:r>
        <w:rPr>
          <w:sz w:val="24"/>
        </w:rPr>
        <w:t xml:space="preserve"> о Евразийском экономическом союзе от 29 мая 2014 г., ратифицированным Федеральным </w:t>
      </w:r>
      <w:hyperlink w:history="0" r:id="rId16" w:tooltip="Федеральный закон от 03.10.2014 N 279-ФЗ &quot;О ратификации Договора о Евразийском экономическом союз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 октября 2014 г. N 279-ФЗ "О ратификации Договора о Евразийском экономическом союзе" и вступившим в силу для Российской Федерации 1 января 2015 г.".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</w:t>
      </w:r>
      <w:hyperlink w:history="0" r:id="rId17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Абзацы второй</w:t>
        </w:r>
      </w:hyperlink>
      <w:r>
        <w:rPr>
          <w:sz w:val="24"/>
        </w:rPr>
        <w:t xml:space="preserve"> и </w:t>
      </w:r>
      <w:hyperlink w:history="0" r:id="rId18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третий пункта 25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"Применяемые средства обеспечения пожарной безопасности и пожаротушения, а также их размещение в зданиях и сооружениях фабрики должны быть определены проектной документацией.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Система противопожарной защиты фабрики должна быть спроектирована и выполнена таким образом, чтобы предотвратить возможность пожара, а в случае его возникновения обеспечить эффективную локализацию и тушение пожара в его начальной стадии.".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</w:t>
      </w:r>
      <w:hyperlink w:history="0" r:id="rId19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Пункт 30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"30. В зданиях и сооружениях фабрики должен быть оборудован комплекс систем и средств, обеспечивающий организацию и осуществление безопасности ведения работ по переработке и обогащению угля, контролю и управлению технологическими и производственными процессами в нормальных и аварийных условиях. Указанные системы и средства должны быть объединены в многофункциональную систему безопасности (далее - МФСБ). Состав указанных систем и средств, объединенных в МФСБ, должен быть определен на основании проекта с учетом установленных опасностей конкретной фабрики.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МФСБ должна обеспечивать: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мониторинг и предупреждение условий возникновения опасности аэрологического и техногенного характера;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оперативный контроль соответствия технологических процессов заданным параметрам;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применение систем противоаварийной защиты людей, технических устройств, зданий и сооружений.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Состав МФСБ предусматривает: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систему аэрогазового контроля (далее - АГК);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систему контроля запыленности воздуха;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систему противопожарной защиты &lt;2&gt;: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систему обнаружения ранних признаков эндогенных и экзогенных пожаров и их локализации;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систему контроля и управления противопожарным водоснабжением &lt;3&gt;;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систему связи и оповещения работников;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систему определения местоположения работников фабрики;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систему поиска и обнаружения людей, застигнутых аварией;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систему оперативной, громкоговорящей и аварийной связи и аварийного оповещения;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два источника независимой связи с подразделением ПАСС(Ф) и пожарных подразделений, обслуживающих фабрику.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МФСБ должна соответствовать требованиям в области промышленной безопасности и технического регулирования, обеспечения единства средств измерений и стандартов на взрывозащищенное электрооборудование, автоматизированные системы управления, информационные технологии, измерительные системы и газоаналитическое оборудование.".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</w:t>
      </w:r>
      <w:hyperlink w:history="0" r:id="rId20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сносками 2 и 3 к пункту 30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"&lt;2&gt; </w:t>
      </w:r>
      <w:hyperlink w:history="0" r:id="rId21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sz w:val="24"/>
            <w:color w:val="0000ff"/>
          </w:rPr>
          <w:t xml:space="preserve">Пункт 41 статьи 2</w:t>
        </w:r>
      </w:hyperlink>
      <w:r>
        <w:rPr>
          <w:sz w:val="24"/>
        </w:rPr>
        <w:t xml:space="preserve"> Федерального закона от 22 июля 2008 г. N 123-ФЗ "Технический регламент о требованиях пожарной безопасности".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22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sz w:val="24"/>
            <w:color w:val="0000ff"/>
          </w:rPr>
          <w:t xml:space="preserve">Статья 62</w:t>
        </w:r>
      </w:hyperlink>
      <w:r>
        <w:rPr>
          <w:sz w:val="24"/>
        </w:rPr>
        <w:t xml:space="preserve"> Федерального закона от 22 июля 2008 г. N 123-ФЗ "Технический регламент о требованиях пожарной безопасности".".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В </w:t>
      </w:r>
      <w:hyperlink w:history="0" r:id="rId23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пункте 33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</w:t>
      </w:r>
      <w:hyperlink w:history="0" r:id="rId24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абзаце третьем</w:t>
        </w:r>
      </w:hyperlink>
      <w:r>
        <w:rPr>
          <w:sz w:val="24"/>
        </w:rPr>
        <w:t xml:space="preserve"> слова "противопожарного трубопровода" заменить словами "пожарного трубопровода":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</w:t>
      </w:r>
      <w:hyperlink w:history="0" r:id="rId25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абзац седьмой</w:t>
        </w:r>
      </w:hyperlink>
      <w:r>
        <w:rPr>
          <w:sz w:val="24"/>
        </w:rPr>
        <w:t xml:space="preserve"> признать утратившим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</w:t>
      </w:r>
      <w:hyperlink w:history="0" r:id="rId26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Название</w:t>
        </w:r>
      </w:hyperlink>
      <w:r>
        <w:rPr>
          <w:sz w:val="24"/>
        </w:rPr>
        <w:t xml:space="preserve"> главы VI изложить в следующей редакции: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"VI. ПЫЛЕГАЗОВЫЙ РЕЖИМ".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</w:t>
      </w:r>
      <w:hyperlink w:history="0" r:id="rId27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Абзацы первый</w:t>
        </w:r>
      </w:hyperlink>
      <w:r>
        <w:rPr>
          <w:sz w:val="24"/>
        </w:rPr>
        <w:t xml:space="preserve">, </w:t>
      </w:r>
      <w:hyperlink w:history="0" r:id="rId28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второй пункта 74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</w:t>
      </w:r>
      <w:hyperlink w:history="0" r:id="rId29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пункте 167</w:t>
        </w:r>
      </w:hyperlink>
      <w:r>
        <w:rPr>
          <w:sz w:val="24"/>
        </w:rPr>
        <w:t xml:space="preserve"> слова "противопожарных средств" заменить словами "средств обеспечения пожарной безопасности и пожаротушения".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</w:t>
      </w:r>
      <w:hyperlink w:history="0" r:id="rId30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Пункт 480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"480. Для каждого угольного склада должны разрабатываться мероприятия по обеспечению пожарной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Работники склада должны знакомиться с мероприятиями по обеспечению пожарной безопасности и профилактическими мероприятиями под подпись.".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</w:t>
      </w:r>
      <w:hyperlink w:history="0" r:id="rId31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Пункт 508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"508. Система противопожарной защиты угольных складов должна осуществляться в соответствии с проектными решениями.".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</w:t>
      </w:r>
      <w:hyperlink w:history="0" r:id="rId32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Пункт 509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"509. Противопожарные разрывы и проезды от основания штабеля углей должны быть следующими: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до головок крайних к штабелям рельсов железнодорожных путей - не менее 2,5 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до зданий и сооружений (в зависимости от их степени огнестойкости &lt;4&gt;):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зданий и сооружений I - IV степеней огнестойкости - не менее 15 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зданий и сооружений V степени огнестойкости - не менее 20 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до складов смазочных, осветительных материалов и жидкого топлива, а также лесных складов - не менее 60 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до вентиляционных шахт, шурфов и приемных устройств для подачи свежего воздуха в шахты - не менее 60 м.".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</w:t>
      </w:r>
      <w:hyperlink w:history="0" r:id="rId33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сноской 4 к пункту 509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"&lt;4&gt; </w:t>
      </w:r>
      <w:hyperlink w:history="0" r:id="rId34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sz w:val="24"/>
            <w:color w:val="0000ff"/>
          </w:rPr>
          <w:t xml:space="preserve">Статья 30</w:t>
        </w:r>
      </w:hyperlink>
      <w:r>
        <w:rPr>
          <w:sz w:val="24"/>
        </w:rPr>
        <w:t xml:space="preserve"> Федерального закона от 22 июля 2008 г. N 123-ФЗ "Технический регламент о требованиях пожарной безопасности".".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</w:t>
      </w:r>
      <w:hyperlink w:history="0" r:id="rId35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Подпункт "л" пункта 620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"л) установками пожаротушения автоматическими &lt;5&gt;.".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</w:t>
      </w:r>
      <w:hyperlink w:history="0" r:id="rId36" w:tooltip="Приказ Ростехнадзора от 28.10.2020 N 428 (ред. от 27.12.2023) &quot;Об утверждении Федеральных норм и правил в области промышленной безопасности &quot;Правила безопасности при переработке, обогащении и брикетировании углей&quot; (Зарегистрировано в Минюсте России 21.12.2020 N 61627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сноской 5 к пункту 620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"&lt;5&gt; </w:t>
      </w:r>
      <w:hyperlink w:history="0" r:id="rId37" w:tooltip="Решение Совета Евразийской экономической комиссии от 23.06.2017 N 40 &quot;О техническом регламенте Евразийского экономического союза &quot;О требованиях к средствам обеспечения пожарной безопасности и пожаротушения&quot; (вместе с &quot;ТР ЕАЭС 043/2017. Технический регламент Евразийского экономического союза &quot;О требованиях к средствам обеспечения пожарной безопасности и пожаротушения&quot;) {КонсультантПлюс}">
        <w:r>
          <w:rPr>
            <w:sz w:val="24"/>
            <w:color w:val="0000ff"/>
          </w:rPr>
          <w:t xml:space="preserve">Абзац сорок первый пункта 6</w:t>
        </w:r>
      </w:hyperlink>
      <w:r>
        <w:rPr>
          <w:sz w:val="24"/>
        </w:rPr>
        <w:t xml:space="preserve">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принятого Решением Совета Евразийской экономической комиссии от 23 июня 2017 г. N 40.".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16.06.2025 N 198</w:t>
            <w:br/>
            <w:t>"О внесении изменений в Федеральные нормы и правила в области промышленной безо...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3176&amp;date=11.08.2025&amp;dst=386&amp;field=134" TargetMode = "External"/>
	<Relationship Id="rId8" Type="http://schemas.openxmlformats.org/officeDocument/2006/relationships/hyperlink" Target="https://login.consultant.ru/link/?req=doc&amp;base=LAW&amp;n=506878&amp;date=11.08.2025&amp;dst=100266&amp;field=134" TargetMode = "External"/>
	<Relationship Id="rId9" Type="http://schemas.openxmlformats.org/officeDocument/2006/relationships/hyperlink" Target="https://login.consultant.ru/link/?req=doc&amp;base=LAW&amp;n=506878&amp;date=11.08.2025&amp;dst=100240&amp;field=134" TargetMode = "External"/>
	<Relationship Id="rId10" Type="http://schemas.openxmlformats.org/officeDocument/2006/relationships/hyperlink" Target="https://login.consultant.ru/link/?req=doc&amp;base=LAW&amp;n=472394&amp;date=11.08.2025&amp;dst=100011&amp;field=134" TargetMode = "External"/>
	<Relationship Id="rId11" Type="http://schemas.openxmlformats.org/officeDocument/2006/relationships/hyperlink" Target="https://login.consultant.ru/link/?req=doc&amp;base=LAW&amp;n=472394&amp;date=11.08.2025&amp;dst=100024&amp;field=134" TargetMode = "External"/>
	<Relationship Id="rId12" Type="http://schemas.openxmlformats.org/officeDocument/2006/relationships/hyperlink" Target="https://login.consultant.ru/link/?req=doc&amp;base=LAW&amp;n=472394&amp;date=11.08.2025&amp;dst=100011&amp;field=134" TargetMode = "External"/>
	<Relationship Id="rId13" Type="http://schemas.openxmlformats.org/officeDocument/2006/relationships/hyperlink" Target="https://login.consultant.ru/link/?req=doc&amp;base=LAW&amp;n=220831&amp;date=11.08.2025&amp;dst=100056&amp;field=134" TargetMode = "External"/>
	<Relationship Id="rId14" Type="http://schemas.openxmlformats.org/officeDocument/2006/relationships/hyperlink" Target="https://login.consultant.ru/link/?req=doc&amp;base=LAW&amp;n=220831&amp;date=11.08.2025" TargetMode = "External"/>
	<Relationship Id="rId15" Type="http://schemas.openxmlformats.org/officeDocument/2006/relationships/hyperlink" Target="https://login.consultant.ru/link/?req=doc&amp;base=LAW&amp;n=476082&amp;date=11.08.2025" TargetMode = "External"/>
	<Relationship Id="rId16" Type="http://schemas.openxmlformats.org/officeDocument/2006/relationships/hyperlink" Target="https://login.consultant.ru/link/?req=doc&amp;base=LAW&amp;n=169401&amp;date=11.08.2025" TargetMode = "External"/>
	<Relationship Id="rId17" Type="http://schemas.openxmlformats.org/officeDocument/2006/relationships/hyperlink" Target="https://login.consultant.ru/link/?req=doc&amp;base=LAW&amp;n=472394&amp;date=11.08.2025&amp;dst=100047&amp;field=134" TargetMode = "External"/>
	<Relationship Id="rId18" Type="http://schemas.openxmlformats.org/officeDocument/2006/relationships/hyperlink" Target="https://login.consultant.ru/link/?req=doc&amp;base=LAW&amp;n=472394&amp;date=11.08.2025&amp;dst=100048&amp;field=134" TargetMode = "External"/>
	<Relationship Id="rId19" Type="http://schemas.openxmlformats.org/officeDocument/2006/relationships/hyperlink" Target="https://login.consultant.ru/link/?req=doc&amp;base=LAW&amp;n=472394&amp;date=11.08.2025&amp;dst=100058&amp;field=134" TargetMode = "External"/>
	<Relationship Id="rId20" Type="http://schemas.openxmlformats.org/officeDocument/2006/relationships/hyperlink" Target="https://login.consultant.ru/link/?req=doc&amp;base=LAW&amp;n=472394&amp;date=11.08.2025&amp;dst=100011&amp;field=134" TargetMode = "External"/>
	<Relationship Id="rId21" Type="http://schemas.openxmlformats.org/officeDocument/2006/relationships/hyperlink" Target="https://login.consultant.ru/link/?req=doc&amp;base=LAW&amp;n=465775&amp;date=11.08.2025&amp;dst=100060&amp;field=134" TargetMode = "External"/>
	<Relationship Id="rId22" Type="http://schemas.openxmlformats.org/officeDocument/2006/relationships/hyperlink" Target="https://login.consultant.ru/link/?req=doc&amp;base=LAW&amp;n=465775&amp;date=11.08.2025&amp;dst=100586&amp;field=134" TargetMode = "External"/>
	<Relationship Id="rId23" Type="http://schemas.openxmlformats.org/officeDocument/2006/relationships/hyperlink" Target="https://login.consultant.ru/link/?req=doc&amp;base=LAW&amp;n=472394&amp;date=11.08.2025&amp;dst=100080&amp;field=134" TargetMode = "External"/>
	<Relationship Id="rId24" Type="http://schemas.openxmlformats.org/officeDocument/2006/relationships/hyperlink" Target="https://login.consultant.ru/link/?req=doc&amp;base=LAW&amp;n=472394&amp;date=11.08.2025&amp;dst=100082&amp;field=134" TargetMode = "External"/>
	<Relationship Id="rId25" Type="http://schemas.openxmlformats.org/officeDocument/2006/relationships/hyperlink" Target="https://login.consultant.ru/link/?req=doc&amp;base=LAW&amp;n=472394&amp;date=11.08.2025&amp;dst=100086&amp;field=134" TargetMode = "External"/>
	<Relationship Id="rId26" Type="http://schemas.openxmlformats.org/officeDocument/2006/relationships/hyperlink" Target="https://login.consultant.ru/link/?req=doc&amp;base=LAW&amp;n=472394&amp;date=11.08.2025&amp;dst=100157&amp;field=134" TargetMode = "External"/>
	<Relationship Id="rId27" Type="http://schemas.openxmlformats.org/officeDocument/2006/relationships/hyperlink" Target="https://login.consultant.ru/link/?req=doc&amp;base=LAW&amp;n=472394&amp;date=11.08.2025&amp;dst=100181&amp;field=134" TargetMode = "External"/>
	<Relationship Id="rId28" Type="http://schemas.openxmlformats.org/officeDocument/2006/relationships/hyperlink" Target="https://login.consultant.ru/link/?req=doc&amp;base=LAW&amp;n=472394&amp;date=11.08.2025&amp;dst=100182&amp;field=134" TargetMode = "External"/>
	<Relationship Id="rId29" Type="http://schemas.openxmlformats.org/officeDocument/2006/relationships/hyperlink" Target="https://login.consultant.ru/link/?req=doc&amp;base=LAW&amp;n=472394&amp;date=11.08.2025&amp;dst=100397&amp;field=134" TargetMode = "External"/>
	<Relationship Id="rId30" Type="http://schemas.openxmlformats.org/officeDocument/2006/relationships/hyperlink" Target="https://login.consultant.ru/link/?req=doc&amp;base=LAW&amp;n=472394&amp;date=11.08.2025&amp;dst=101023&amp;field=134" TargetMode = "External"/>
	<Relationship Id="rId31" Type="http://schemas.openxmlformats.org/officeDocument/2006/relationships/hyperlink" Target="https://login.consultant.ru/link/?req=doc&amp;base=LAW&amp;n=472394&amp;date=11.08.2025&amp;dst=101101&amp;field=134" TargetMode = "External"/>
	<Relationship Id="rId32" Type="http://schemas.openxmlformats.org/officeDocument/2006/relationships/hyperlink" Target="https://login.consultant.ru/link/?req=doc&amp;base=LAW&amp;n=472394&amp;date=11.08.2025&amp;dst=101102&amp;field=134" TargetMode = "External"/>
	<Relationship Id="rId33" Type="http://schemas.openxmlformats.org/officeDocument/2006/relationships/hyperlink" Target="https://login.consultant.ru/link/?req=doc&amp;base=LAW&amp;n=472394&amp;date=11.08.2025&amp;dst=100011&amp;field=134" TargetMode = "External"/>
	<Relationship Id="rId34" Type="http://schemas.openxmlformats.org/officeDocument/2006/relationships/hyperlink" Target="https://login.consultant.ru/link/?req=doc&amp;base=LAW&amp;n=465775&amp;date=11.08.2025&amp;dst=101974&amp;field=134" TargetMode = "External"/>
	<Relationship Id="rId35" Type="http://schemas.openxmlformats.org/officeDocument/2006/relationships/hyperlink" Target="https://login.consultant.ru/link/?req=doc&amp;base=LAW&amp;n=472394&amp;date=11.08.2025&amp;dst=101295&amp;field=134" TargetMode = "External"/>
	<Relationship Id="rId36" Type="http://schemas.openxmlformats.org/officeDocument/2006/relationships/hyperlink" Target="https://login.consultant.ru/link/?req=doc&amp;base=LAW&amp;n=472394&amp;date=11.08.2025&amp;dst=100011&amp;field=134" TargetMode = "External"/>
	<Relationship Id="rId37" Type="http://schemas.openxmlformats.org/officeDocument/2006/relationships/hyperlink" Target="https://login.consultant.ru/link/?req=doc&amp;base=LAW&amp;n=220831&amp;date=11.08.2025&amp;dst=100063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16.06.2025 N 198
"О внесении изменений в Федеральные нормы и правила в области промышленной безопасности "Правила безопасности при переработке, обогащении и брикетировании углей", утвержденные приказом Федеральной службы по экологическому, технологическому и атомному надзору от 28 октября 2020 г. N 428"
(Зарегистрировано в Минюсте России 15.07.2025 N 82920)</dc:title>
  <dcterms:created xsi:type="dcterms:W3CDTF">2025-08-11T07:49:47Z</dcterms:created>
</cp:coreProperties>
</file>