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29.01.2025 N 29</w:t>
              <w:br/>
              <w:t xml:space="preserve">"О внесении изменений в федеральные нормы и правила в области промышленной безопасности "Правила проведения экспертизы промышленной безопасности", утвержденные приказом Федеральной службы по экологическому, технологическому и атомному надзору от 20 октября 2020 г. N 420"</w:t>
              <w:br/>
              <w:t xml:space="preserve">(Зарегистрировано в Минюсте России 24.04.2025 N 81963)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24 апреля 2025 г. N 81963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29 января 2025 г. N 29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ПРОВЕДЕНИЯ ЭКСПЕРТИЗЫ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БЕЗОПАСНОСТИ", УТВЕРЖДЕННЫЕ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20 ОКТЯБРЯ 2020 Г. N 420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изменения в федеральные </w:t>
      </w:r>
      <w:hyperlink w:history="0" r:id="rId10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проведения экспертизы промышленной безопасности", утвержденные приказом Федеральной службы по экологическому, технологическому и атомному надзору от 20 октября 2020 г. N 420 (зарегистрирован Министерством юстиции Российской Федерации 11 декабря 2020 г., регистрационный N 61391), с изменениями, внесенными приказами Федеральной службы по экологическому, технологическому и атомному надзору от 13 апреля 2022 г. N 120 (зарегистрирован Министерством юстиции Российской Федерации 6 июня 2022 г., регистрационный N 68752) и от 20 февраля 2024 г. N 60 (зарегистрирован Министерством юстиции Российской Федерации 27 марта 2024 г., регистрационный N 77649), согласно </w:t>
      </w:r>
      <w:hyperlink w:history="0" w:anchor="P34" w:tooltip="ИЗМЕНЕНИЯ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1 сентября 2025 г. и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руководителя</w:t>
      </w:r>
    </w:p>
    <w:p>
      <w:pPr>
        <w:pStyle w:val="0"/>
        <w:jc w:val="right"/>
      </w:pPr>
      <w:r>
        <w:rPr>
          <w:sz w:val="24"/>
        </w:rPr>
        <w:t xml:space="preserve">А.В.ДЕМИН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29 января 2025 г. N 29</w:t>
      </w:r>
    </w:p>
    <w:p>
      <w:pPr>
        <w:pStyle w:val="0"/>
        <w:jc w:val="center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ПРОВЕДЕНИЯ ЭКСПЕРТИЗЫ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БЕЗОПАСНОСТИ", УТВЕРЖДЕННЫЕ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20 ОКТЯБРЯ 2020 Г. N 420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1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 16</w:t>
        </w:r>
      </w:hyperlink>
      <w:r>
        <w:rPr>
          <w:sz w:val="24"/>
        </w:rPr>
        <w:t xml:space="preserve"> после слов "связанных с такими опасными производственными объектами" дополнить словами ", и объектов экспертизы, указанных в </w:t>
      </w:r>
      <w:hyperlink w:history="0" r:id="rId1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, </w:t>
      </w:r>
      <w:hyperlink w:history="0" r:id="rId1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третьем</w:t>
        </w:r>
      </w:hyperlink>
      <w:r>
        <w:rPr>
          <w:sz w:val="24"/>
        </w:rPr>
        <w:t xml:space="preserve">, </w:t>
      </w:r>
      <w:hyperlink w:history="0" r:id="rId1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шестом</w:t>
        </w:r>
      </w:hyperlink>
      <w:r>
        <w:rPr>
          <w:sz w:val="24"/>
        </w:rPr>
        <w:t xml:space="preserve">, </w:t>
      </w:r>
      <w:hyperlink w:history="0" r:id="rId1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седьмом пункта 1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разработчиком которых являлась такая организация".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6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Сноску 11</w:t>
        </w:r>
      </w:hyperlink>
      <w:r>
        <w:rPr>
          <w:sz w:val="24"/>
        </w:rPr>
        <w:t xml:space="preserve"> к пункту 16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"&lt;11&gt; </w:t>
      </w:r>
      <w:hyperlink w:history="0" r:id="rId1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Пункты 2</w:t>
        </w:r>
      </w:hyperlink>
      <w:r>
        <w:rPr>
          <w:sz w:val="24"/>
        </w:rPr>
        <w:t xml:space="preserve"> и </w:t>
      </w:r>
      <w:hyperlink w:history="0" r:id="rId1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3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19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Абзац первый пункта 17</w:t>
        </w:r>
      </w:hyperlink>
      <w:r>
        <w:rPr>
          <w:sz w:val="24"/>
        </w:rPr>
        <w:t xml:space="preserve"> после слов "проводящей экспертизу," дополнить словами "в письменной форме либо в форме электронного документа, подписанного электронной подписью в соответствии с Федеральным </w:t>
      </w:r>
      <w:hyperlink w:history="0" r:id="rId20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6 апреля 2011 г. N 63-ФЗ "Об электронной подписи",".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</w:t>
      </w:r>
      <w:hyperlink w:history="0" r:id="rId21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Пункты 23</w:t>
        </w:r>
      </w:hyperlink>
      <w:r>
        <w:rPr>
          <w:sz w:val="24"/>
        </w:rPr>
        <w:t xml:space="preserve"> - </w:t>
      </w:r>
      <w:hyperlink w:history="0" r:id="rId22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27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"23. При проведении экспертизы устанавливается полнота и достоверность относящихся к объекту экспертизы документов, предоставленных заказчиком, оценивается фактическое состояние технических устройств, зданий и сооружений на опасных производственных объектах. При оценке фактического состояния технических устройств, зданий и сооружений на опасных производственных объектах допускается использование информации автоматизированных систем мониторинга их технического состояния, применяемых юридическим лицом (индивидуальным предпринимателем), эксплуатирующим опасный производственный объект.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оценки фактического состояния зданий и сооружений проводится их обследование.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Техническое диагностирование технических устройств проводится для оценки фактического состояния технических устройств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при проведении экспертизы по истечении срока службы или при превышении количества циклов нагрузки такого технического устройства, установленных его производителем, либо при отсутствии в технической документации данных о сроке службы такого технического устройства, если фактический срок его службы превышает десять лет;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при проведении экспертизы после проведения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при обнаружении экспертами дефектов, способных повлиять на прочность конструкции, или дефектов неизвестного происхождения.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При проведении экспертизы технических устройств экспертом (экспертами) выполняются: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анализ документации, относящейся к техническим устройствам (включая акты расследования аварий и инцидентов, связанных с эксплуатацией технических устройств, заключения экспертизы ранее проводимых экспертиз) и режимам эксплуатации технических устройств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осмотр технических устройств.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Техническое диагностирование технических устройств должно включать следующие мероприятия: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визуальный и измерительный контроль;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оперативное (функциональное) диагностирование для получения информации о состоянии, фактических параметрах работы, фактического нагружения технического устройства в реальных условиях эксплуатации;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определение повреждающих факторов, механизмов повреждения и восприимчивости материала технического устройства к механизмам повреждения;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оценку качества соединений элементов технического устройства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выбор методов неразрушающего или разрушающего контроля, наиболее эффективно выявляющих дефекты, образующиеся в результате воздействия установленных механизмов повреждения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неразрушающий контроль или разрушающий контроль металла и сварных соединений технического устройства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оценку выявленных дефектов на основании результатов визуального и измерительного контроля, методов неразрушающего или разрушающего контроля;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исследование материалов технического 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расчетные и аналитические процедуры оценки и прогнозирования технического состояния технического устройства, включающие анализ режимов работы и исследование напряженно-деформированного состояния;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оценку остаточного ресурса (срока службы).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При проведении экспертизы зданий и сооружений экспертом (экспертами) выполняются: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анализ: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проектной и исполнительной документации на строительство, реконструкцию здания (сооружения), разрешения на ввод в эксплуатацию здания (сооружения);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документов, удостоверяющих качество строительных конструкций и материалов;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актов расследования аварий;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заключений ранее проводимых экспертиз здания (сооружения);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эксплуатационной документации, документации о текущих и капитальных ремонтах, документации об изменениях конструкций зданий (сооружений);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осмотр зданий и сооружений.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Обследование зданий и сооружений должно включать следующие мероприятия: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определение соответствия строительных конструкций зданий и сооружений проектной документации и требованиям нормативных правовых актов и документов по стандартизации &lt;13(1)&gt;, выявление дефектов и повреждений элементов и узлов конструкций зданий и сооружений с составлением ведомостей дефектов и повреждений;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определение пространственного положения строительных конструкций зданий и сооружений, их фактических сечений и состояния соединений;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определение степени влияния гидрологических, аэрологических и атмосферных воздействий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определение фактической прочности материалов и строительных конструкций зданий и сооружений в сравнении с проектными параметрами;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оценку соответствия площади и весовых характеристик легкосбрасываемых конструкций зданий и сооружений требуемой величине, обеспечивающей взрывоустойчивость объекта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изучение химической агрессивности производственной среды в отношении материалов строительных конструкций зданий и сооружений;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определение степени коррозии арматуры и металлических элементов строительных конструкций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поверочный расчет строительных конструкций зданий и сооружений, учитывающий выявленные при обследовании отклонения, дефекты и повреждения, фактические (или прогнозируемые) нагрузки и свойства материалов этих конструкций;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оценку остаточной несущей способности и пригодности зданий и сооружений к дальнейшей эксплуатации.".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</w:t>
      </w:r>
      <w:hyperlink w:history="0" r:id="rId23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13(1) к подпункту 1 пункта 27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"&lt;13(1)&gt; </w:t>
      </w:r>
      <w:hyperlink w:history="0" r:id="rId24" w:tooltip="Федеральный закон от 29.06.2015 N 162-ФЗ (ред. от 30.12.2020) &quot;О стандартизации в Российской Федерации&quot; {КонсультантПлюс}">
        <w:r>
          <w:rPr>
            <w:sz w:val="24"/>
            <w:color w:val="0000ff"/>
          </w:rPr>
          <w:t xml:space="preserve">Статья 14</w:t>
        </w:r>
      </w:hyperlink>
      <w:r>
        <w:rPr>
          <w:sz w:val="24"/>
        </w:rPr>
        <w:t xml:space="preserve"> Федерального закона от 29 июня 2015 г. N 162-ФЗ "О стандартизации в Российской Федерации".".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</w:t>
      </w:r>
      <w:hyperlink w:history="0" r:id="rId25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Подпункт 6 пункта 34</w:t>
        </w:r>
      </w:hyperlink>
      <w:r>
        <w:rPr>
          <w:sz w:val="24"/>
        </w:rPr>
        <w:t xml:space="preserve"> после слов "необходимую для идентификации," дополнить словами "и (или) информацию об отсутствии (непредставлении) технической документации на технические устройства, проектной документации на здания или сооружения (с указанием причин, в том числе в случае утраты или порчи такой документации),".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</w:t>
      </w:r>
      <w:hyperlink w:history="0" r:id="rId26" w:tooltip="Приказ Ростехнадзора от 20.10.2020 N 420 (ред. от 20.02.2024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 40</w:t>
        </w:r>
      </w:hyperlink>
      <w:r>
        <w:rPr>
          <w:sz w:val="24"/>
        </w:rPr>
        <w:t xml:space="preserve"> после слов "заключение экспертизы" дополнить словами "не позднее 90 календарных дней со дня его подписания руководителем организации, проводившей экспертизу,".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29.01.2025 N 29</w:t>
            <w:br/>
            <w:t>"О внесении изменений в федеральные нормы и правила в области промышленной безоп...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76&amp;date=19.05.2025&amp;dst=386&amp;field=134" TargetMode = "External"/>
	<Relationship Id="rId8" Type="http://schemas.openxmlformats.org/officeDocument/2006/relationships/hyperlink" Target="https://login.consultant.ru/link/?req=doc&amp;base=LAW&amp;n=499272&amp;date=19.05.2025&amp;dst=100266&amp;field=134" TargetMode = "External"/>
	<Relationship Id="rId9" Type="http://schemas.openxmlformats.org/officeDocument/2006/relationships/hyperlink" Target="https://login.consultant.ru/link/?req=doc&amp;base=LAW&amp;n=499272&amp;date=19.05.2025&amp;dst=100240&amp;field=134" TargetMode = "External"/>
	<Relationship Id="rId10" Type="http://schemas.openxmlformats.org/officeDocument/2006/relationships/hyperlink" Target="https://login.consultant.ru/link/?req=doc&amp;base=LAW&amp;n=473274&amp;date=19.05.2025&amp;dst=100010&amp;field=134" TargetMode = "External"/>
	<Relationship Id="rId11" Type="http://schemas.openxmlformats.org/officeDocument/2006/relationships/hyperlink" Target="https://login.consultant.ru/link/?req=doc&amp;base=LAW&amp;n=473274&amp;date=19.05.2025&amp;dst=100071&amp;field=134" TargetMode = "External"/>
	<Relationship Id="rId12" Type="http://schemas.openxmlformats.org/officeDocument/2006/relationships/hyperlink" Target="https://login.consultant.ru/link/?req=doc&amp;base=LAW&amp;n=483176&amp;date=19.05.2025&amp;dst=133&amp;field=134" TargetMode = "External"/>
	<Relationship Id="rId13" Type="http://schemas.openxmlformats.org/officeDocument/2006/relationships/hyperlink" Target="https://login.consultant.ru/link/?req=doc&amp;base=LAW&amp;n=483176&amp;date=19.05.2025&amp;dst=134&amp;field=134" TargetMode = "External"/>
	<Relationship Id="rId14" Type="http://schemas.openxmlformats.org/officeDocument/2006/relationships/hyperlink" Target="https://login.consultant.ru/link/?req=doc&amp;base=LAW&amp;n=483176&amp;date=19.05.2025&amp;dst=137&amp;field=134" TargetMode = "External"/>
	<Relationship Id="rId15" Type="http://schemas.openxmlformats.org/officeDocument/2006/relationships/hyperlink" Target="https://login.consultant.ru/link/?req=doc&amp;base=LAW&amp;n=483176&amp;date=19.05.2025&amp;dst=138&amp;field=134" TargetMode = "External"/>
	<Relationship Id="rId16" Type="http://schemas.openxmlformats.org/officeDocument/2006/relationships/hyperlink" Target="https://login.consultant.ru/link/?req=doc&amp;base=LAW&amp;n=473274&amp;date=19.05.2025&amp;dst=100073&amp;field=134" TargetMode = "External"/>
	<Relationship Id="rId17" Type="http://schemas.openxmlformats.org/officeDocument/2006/relationships/hyperlink" Target="https://login.consultant.ru/link/?req=doc&amp;base=LAW&amp;n=483176&amp;date=19.05.2025&amp;dst=265&amp;field=134" TargetMode = "External"/>
	<Relationship Id="rId18" Type="http://schemas.openxmlformats.org/officeDocument/2006/relationships/hyperlink" Target="https://login.consultant.ru/link/?req=doc&amp;base=LAW&amp;n=483176&amp;date=19.05.2025&amp;dst=267&amp;field=134" TargetMode = "External"/>
	<Relationship Id="rId19" Type="http://schemas.openxmlformats.org/officeDocument/2006/relationships/hyperlink" Target="https://login.consultant.ru/link/?req=doc&amp;base=LAW&amp;n=473274&amp;date=19.05.2025&amp;dst=100074&amp;field=134" TargetMode = "External"/>
	<Relationship Id="rId20" Type="http://schemas.openxmlformats.org/officeDocument/2006/relationships/hyperlink" Target="https://login.consultant.ru/link/?req=doc&amp;base=LAW&amp;n=494998&amp;date=19.05.2025" TargetMode = "External"/>
	<Relationship Id="rId21" Type="http://schemas.openxmlformats.org/officeDocument/2006/relationships/hyperlink" Target="https://login.consultant.ru/link/?req=doc&amp;base=LAW&amp;n=473274&amp;date=19.05.2025&amp;dst=1&amp;field=134" TargetMode = "External"/>
	<Relationship Id="rId22" Type="http://schemas.openxmlformats.org/officeDocument/2006/relationships/hyperlink" Target="https://login.consultant.ru/link/?req=doc&amp;base=LAW&amp;n=473274&amp;date=19.05.2025&amp;dst=100114&amp;field=134" TargetMode = "External"/>
	<Relationship Id="rId23" Type="http://schemas.openxmlformats.org/officeDocument/2006/relationships/hyperlink" Target="https://login.consultant.ru/link/?req=doc&amp;base=LAW&amp;n=473274&amp;date=19.05.2025&amp;dst=100010&amp;field=134" TargetMode = "External"/>
	<Relationship Id="rId24" Type="http://schemas.openxmlformats.org/officeDocument/2006/relationships/hyperlink" Target="https://login.consultant.ru/link/?req=doc&amp;base=LAW&amp;n=372899&amp;date=19.05.2025&amp;dst=100169&amp;field=134" TargetMode = "External"/>
	<Relationship Id="rId25" Type="http://schemas.openxmlformats.org/officeDocument/2006/relationships/hyperlink" Target="https://login.consultant.ru/link/?req=doc&amp;base=LAW&amp;n=473274&amp;date=19.05.2025&amp;dst=2&amp;field=134" TargetMode = "External"/>
	<Relationship Id="rId26" Type="http://schemas.openxmlformats.org/officeDocument/2006/relationships/hyperlink" Target="https://login.consultant.ru/link/?req=doc&amp;base=LAW&amp;n=473274&amp;date=19.05.2025&amp;dst=10016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29.01.2025 N 29
"О внесении изменений в федеральные нормы и правила в области промышленной безопасности "Правила проведения экспертизы промышленной безопасности", утвержденные приказом Федеральной службы по экологическому, технологическому и атомному надзору от 20 октября 2020 г. N 420"
(Зарегистрировано в Минюсте России 24.04.2025 N 81963)</dc:title>
  <dcterms:created xsi:type="dcterms:W3CDTF">2025-05-19T08:34:49Z</dcterms:created>
</cp:coreProperties>
</file>