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2F9E" w:rsidRPr="00FB3EF3" w:rsidRDefault="00852F9E" w:rsidP="00852F9E">
      <w:pPr>
        <w:pageBreakBefore/>
        <w:spacing w:after="0"/>
        <w:ind w:left="11" w:right="6" w:hanging="11"/>
        <w:jc w:val="center"/>
        <w:rPr>
          <w:color w:val="auto"/>
        </w:rPr>
      </w:pPr>
      <w:bookmarkStart w:id="0" w:name="_GoBack"/>
      <w:bookmarkEnd w:id="0"/>
      <w:r w:rsidRPr="00FB3EF3">
        <w:rPr>
          <w:rFonts w:ascii="Times New Roman" w:eastAsia="Times New Roman" w:hAnsi="Times New Roman" w:cs="Times New Roman"/>
          <w:b/>
          <w:color w:val="auto"/>
          <w:sz w:val="28"/>
        </w:rPr>
        <w:t xml:space="preserve">ПОЯСНИТЕЛЬНАЯ ЗАПИСКА </w:t>
      </w:r>
    </w:p>
    <w:p w:rsidR="00852F9E" w:rsidRPr="006E4260" w:rsidRDefault="00852F9E" w:rsidP="006E4260">
      <w:pPr>
        <w:spacing w:after="0"/>
        <w:ind w:left="6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4260">
        <w:rPr>
          <w:rFonts w:ascii="Times New Roman" w:eastAsia="Times New Roman" w:hAnsi="Times New Roman" w:cs="Times New Roman"/>
          <w:b/>
          <w:color w:val="auto"/>
          <w:sz w:val="28"/>
        </w:rPr>
        <w:t xml:space="preserve"> </w:t>
      </w:r>
      <w:r w:rsidRPr="006E4260">
        <w:rPr>
          <w:rFonts w:ascii="Times New Roman" w:hAnsi="Times New Roman" w:cs="Times New Roman"/>
          <w:b/>
          <w:sz w:val="28"/>
          <w:szCs w:val="28"/>
        </w:rPr>
        <w:t>к проекту приказа Минэнерго России «</w:t>
      </w:r>
      <w:r w:rsidR="00FF3D7E" w:rsidRPr="00FF3D7E">
        <w:rPr>
          <w:rFonts w:ascii="Times New Roman" w:hAnsi="Times New Roman" w:cs="Times New Roman"/>
          <w:b/>
          <w:sz w:val="28"/>
          <w:szCs w:val="28"/>
        </w:rPr>
        <w:t>О внесении изменений в Правила оценки готовности к отопительному периоду, утвержденные приказом Минэнерго России от 12 марта 2013 г. № 103, и в Методику проведения оценки готовности субъектов электроэнергетики к работе в отопительный сезон и проведения мониторинга риска нарушения работы субъектов электроэнергетики в сфере электроэнергетики, утвержденную приказом Минэнерго России от 27 декабря 2017 г. № 1233</w:t>
      </w:r>
      <w:r w:rsidR="00FF3D7E">
        <w:rPr>
          <w:rFonts w:ascii="Times New Roman" w:hAnsi="Times New Roman" w:cs="Times New Roman"/>
          <w:b/>
          <w:sz w:val="28"/>
          <w:szCs w:val="28"/>
        </w:rPr>
        <w:t>»</w:t>
      </w:r>
    </w:p>
    <w:p w:rsidR="00852F9E" w:rsidRPr="00FB3EF3" w:rsidRDefault="00852F9E" w:rsidP="00852F9E">
      <w:pPr>
        <w:suppressAutoHyphens/>
        <w:spacing w:after="0" w:line="360" w:lineRule="auto"/>
        <w:ind w:firstLine="709"/>
        <w:jc w:val="both"/>
        <w:rPr>
          <w:color w:val="auto"/>
        </w:rPr>
      </w:pPr>
    </w:p>
    <w:p w:rsidR="0017761A" w:rsidRDefault="0017761A" w:rsidP="0017761A">
      <w:pPr>
        <w:pStyle w:val="pt-a-000002"/>
        <w:shd w:val="clear" w:color="auto" w:fill="FFFFFF"/>
        <w:spacing w:before="0" w:beforeAutospacing="0" w:after="0" w:afterAutospacing="0" w:line="360" w:lineRule="auto"/>
        <w:ind w:firstLine="706"/>
        <w:contextualSpacing/>
        <w:jc w:val="both"/>
        <w:rPr>
          <w:sz w:val="28"/>
          <w:szCs w:val="28"/>
        </w:rPr>
      </w:pPr>
      <w:r>
        <w:rPr>
          <w:rStyle w:val="pt-a0-000003"/>
          <w:color w:val="000000"/>
          <w:sz w:val="28"/>
          <w:szCs w:val="28"/>
        </w:rPr>
        <w:t>Проект приказа «</w:t>
      </w:r>
      <w:r w:rsidR="00C118A1" w:rsidRPr="00C118A1">
        <w:rPr>
          <w:rStyle w:val="pt-a0-000003"/>
          <w:color w:val="000000"/>
          <w:sz w:val="28"/>
          <w:szCs w:val="28"/>
        </w:rPr>
        <w:t>О внесении изменений в Правила оценки готовности к отопительному периоду, утвержденные приказом Минэнерго России от 12 марта 2013 г. № 103, и в Методику проведения оценки готовности субъектов электроэнергетики к работе в отопительный сезон и проведения мониторинга риска нарушения работы субъектов электроэнергетики в сфере электроэнергетики, утвержденную приказом Минэнерго России от 27 декабря 2017 г. № 1233</w:t>
      </w:r>
      <w:r>
        <w:rPr>
          <w:rStyle w:val="pt-a0-000003"/>
          <w:color w:val="000000"/>
          <w:sz w:val="28"/>
          <w:szCs w:val="28"/>
        </w:rPr>
        <w:t xml:space="preserve">» (далее – Проект приказа) разработан </w:t>
      </w:r>
      <w:r w:rsidRPr="004442E2">
        <w:rPr>
          <w:rStyle w:val="pt-a0-000003"/>
          <w:color w:val="000000"/>
          <w:sz w:val="28"/>
          <w:szCs w:val="28"/>
        </w:rPr>
        <w:t xml:space="preserve">по результатам </w:t>
      </w:r>
      <w:r w:rsidRPr="004442E2">
        <w:rPr>
          <w:sz w:val="28"/>
          <w:szCs w:val="28"/>
        </w:rPr>
        <w:t>применения вышеуказанно</w:t>
      </w:r>
      <w:r>
        <w:rPr>
          <w:sz w:val="28"/>
          <w:szCs w:val="28"/>
        </w:rPr>
        <w:t>й Методики, в которую</w:t>
      </w:r>
      <w:r w:rsidRPr="004442E2">
        <w:rPr>
          <w:sz w:val="28"/>
          <w:szCs w:val="28"/>
        </w:rPr>
        <w:t xml:space="preserve"> вносятся изменения</w:t>
      </w:r>
      <w:r>
        <w:rPr>
          <w:sz w:val="28"/>
          <w:szCs w:val="28"/>
        </w:rPr>
        <w:t>.</w:t>
      </w:r>
    </w:p>
    <w:p w:rsidR="0017761A" w:rsidRDefault="0017761A" w:rsidP="0017761A">
      <w:pPr>
        <w:pStyle w:val="pt-a-000002"/>
        <w:shd w:val="clear" w:color="auto" w:fill="FFFFFF"/>
        <w:spacing w:before="0" w:beforeAutospacing="0" w:after="0" w:afterAutospacing="0" w:line="360" w:lineRule="auto"/>
        <w:ind w:firstLine="706"/>
        <w:contextualSpacing/>
        <w:jc w:val="both"/>
        <w:rPr>
          <w:rStyle w:val="pt-a0-000003"/>
          <w:color w:val="000000"/>
          <w:sz w:val="28"/>
          <w:szCs w:val="28"/>
        </w:rPr>
      </w:pPr>
      <w:r>
        <w:rPr>
          <w:rStyle w:val="pt-a0-000003"/>
          <w:color w:val="000000"/>
          <w:sz w:val="28"/>
          <w:szCs w:val="28"/>
        </w:rPr>
        <w:t>Проект приказа направлен:</w:t>
      </w:r>
    </w:p>
    <w:p w:rsidR="00CE243C" w:rsidRPr="00985EF0" w:rsidRDefault="00985EF0" w:rsidP="00AE6AEA">
      <w:pPr>
        <w:pStyle w:val="pt-a-000002"/>
        <w:numPr>
          <w:ilvl w:val="0"/>
          <w:numId w:val="3"/>
        </w:numPr>
        <w:shd w:val="clear" w:color="auto" w:fill="FFFFFF"/>
        <w:tabs>
          <w:tab w:val="left" w:pos="1276"/>
        </w:tabs>
        <w:spacing w:before="0" w:beforeAutospacing="0" w:after="0" w:afterAutospacing="0" w:line="360" w:lineRule="auto"/>
        <w:ind w:left="0" w:firstLine="706"/>
        <w:contextualSpacing/>
        <w:jc w:val="both"/>
        <w:rPr>
          <w:rStyle w:val="pt-a0-000003"/>
          <w:color w:val="000000"/>
          <w:sz w:val="28"/>
          <w:szCs w:val="28"/>
        </w:rPr>
      </w:pPr>
      <w:r w:rsidRPr="00985EF0">
        <w:rPr>
          <w:rStyle w:val="pt-a0-000003"/>
          <w:color w:val="000000"/>
          <w:sz w:val="28"/>
          <w:szCs w:val="28"/>
        </w:rPr>
        <w:t>Н</w:t>
      </w:r>
      <w:r w:rsidR="0017761A" w:rsidRPr="00985EF0">
        <w:rPr>
          <w:rStyle w:val="pt-a0-000003"/>
          <w:color w:val="000000"/>
          <w:sz w:val="28"/>
          <w:szCs w:val="28"/>
        </w:rPr>
        <w:t>а совершенствование оценки готовности генерирующего оборудования, предназначенного для работы в режиме отпуска тепловой энергии к работе в отопительный сезон в виде комплексного показателя – индекса готовности к работе в отопительный сезон (далее – ИГС).</w:t>
      </w:r>
      <w:r w:rsidRPr="00985EF0">
        <w:rPr>
          <w:rStyle w:val="pt-a0-000003"/>
          <w:color w:val="000000"/>
          <w:sz w:val="28"/>
          <w:szCs w:val="28"/>
        </w:rPr>
        <w:t xml:space="preserve"> </w:t>
      </w:r>
      <w:r w:rsidR="00CE243C" w:rsidRPr="00985EF0">
        <w:rPr>
          <w:rStyle w:val="pt-a0-000003"/>
          <w:color w:val="000000"/>
          <w:sz w:val="28"/>
          <w:szCs w:val="28"/>
        </w:rPr>
        <w:t xml:space="preserve">Предлагаемое изменение позволит повысить объективность оценки готовности субъектов электроэнергетики по производству электрической энергии, функционирующих в режиме комбинированной выработки электрической и тепловой энергии. </w:t>
      </w:r>
    </w:p>
    <w:p w:rsidR="0017761A" w:rsidRPr="0017761A" w:rsidRDefault="00985EF0" w:rsidP="0017761A">
      <w:pPr>
        <w:pStyle w:val="a3"/>
        <w:numPr>
          <w:ilvl w:val="0"/>
          <w:numId w:val="3"/>
        </w:numPr>
        <w:tabs>
          <w:tab w:val="left" w:pos="1276"/>
        </w:tabs>
        <w:suppressAutoHyphens/>
        <w:spacing w:after="0" w:line="360" w:lineRule="auto"/>
        <w:ind w:left="0" w:firstLine="706"/>
        <w:jc w:val="both"/>
      </w:pPr>
      <w:r>
        <w:t>Н</w:t>
      </w:r>
      <w:r w:rsidR="0017761A" w:rsidRPr="0017761A">
        <w:t xml:space="preserve">а исключение </w:t>
      </w:r>
      <w:r w:rsidR="00C118A1" w:rsidRPr="0017761A">
        <w:t xml:space="preserve">из расчета </w:t>
      </w:r>
      <w:r w:rsidR="0017761A" w:rsidRPr="0017761A">
        <w:t xml:space="preserve">в период до </w:t>
      </w:r>
      <w:r w:rsidR="0017761A" w:rsidRPr="00985EF0">
        <w:t>31.12.2022</w:t>
      </w:r>
      <w:r w:rsidR="0017761A" w:rsidRPr="0017761A">
        <w:t xml:space="preserve"> единиц основного технологического оборудования и ЛЭП, причинами невыполнения ремонтов которых являются ограничения поставок услуг, оборудования и материалов, используемых на объектах электроэнергетики. В отношении данных единиц оборудования и ЛЭП должен применяться вид организации ремонта по техническому состоянию.</w:t>
      </w:r>
    </w:p>
    <w:p w:rsidR="00164FCE" w:rsidRPr="00FB3EF3" w:rsidRDefault="0005669B" w:rsidP="00164FCE">
      <w:pPr>
        <w:spacing w:after="1" w:line="357" w:lineRule="auto"/>
        <w:ind w:left="-15" w:right="-8" w:firstLine="698"/>
        <w:jc w:val="both"/>
        <w:rPr>
          <w:color w:val="auto"/>
        </w:rPr>
      </w:pPr>
      <w:r w:rsidRPr="00FB3EF3">
        <w:rPr>
          <w:rFonts w:ascii="Times New Roman" w:eastAsia="Times New Roman" w:hAnsi="Times New Roman" w:cs="Times New Roman"/>
          <w:color w:val="auto"/>
          <w:sz w:val="28"/>
        </w:rPr>
        <w:lastRenderedPageBreak/>
        <w:t>Приказ</w:t>
      </w:r>
      <w:r w:rsidR="00164FCE" w:rsidRPr="00FB3EF3">
        <w:rPr>
          <w:rFonts w:ascii="Times New Roman" w:eastAsia="Times New Roman" w:hAnsi="Times New Roman" w:cs="Times New Roman"/>
          <w:color w:val="auto"/>
          <w:sz w:val="28"/>
        </w:rPr>
        <w:t xml:space="preserve"> вступает в силу со дня его официального опубликования в связи с необходимостью оперативного пр</w:t>
      </w:r>
      <w:r w:rsidR="00CE243C">
        <w:rPr>
          <w:rFonts w:ascii="Times New Roman" w:eastAsia="Times New Roman" w:hAnsi="Times New Roman" w:cs="Times New Roman"/>
          <w:color w:val="auto"/>
          <w:sz w:val="28"/>
        </w:rPr>
        <w:t>именения вводимых им положений.</w:t>
      </w:r>
    </w:p>
    <w:p w:rsidR="00164FCE" w:rsidRPr="00FB3EF3" w:rsidRDefault="0005669B" w:rsidP="00164FCE">
      <w:pPr>
        <w:spacing w:after="1" w:line="357" w:lineRule="auto"/>
        <w:ind w:left="-15" w:right="-8" w:firstLine="698"/>
        <w:jc w:val="both"/>
        <w:rPr>
          <w:color w:val="auto"/>
        </w:rPr>
      </w:pPr>
      <w:r w:rsidRPr="00FB3EF3">
        <w:rPr>
          <w:rFonts w:ascii="Times New Roman" w:eastAsia="Times New Roman" w:hAnsi="Times New Roman" w:cs="Times New Roman"/>
          <w:color w:val="auto"/>
          <w:sz w:val="28"/>
        </w:rPr>
        <w:t>Приказ</w:t>
      </w:r>
      <w:r w:rsidR="00164FCE" w:rsidRPr="00FB3EF3">
        <w:rPr>
          <w:rFonts w:ascii="Times New Roman" w:eastAsia="Times New Roman" w:hAnsi="Times New Roman" w:cs="Times New Roman"/>
          <w:color w:val="auto"/>
          <w:sz w:val="28"/>
        </w:rPr>
        <w:t xml:space="preserve"> не содержит требований, которые связаны с осуществлением предпринимательской и иной экономической деятельности и оценка соблюдения которых осуществляется в рамках государственного контроля (надзора), муниципального контроля, привлечения к административной ответственности, предоставления лицензий и иных разрешений, аккредитации, оценки соответствия продукции, иных форм оценки и экспертизы (дал</w:t>
      </w:r>
      <w:r w:rsidR="001871F8">
        <w:rPr>
          <w:rFonts w:ascii="Times New Roman" w:eastAsia="Times New Roman" w:hAnsi="Times New Roman" w:cs="Times New Roman"/>
          <w:color w:val="auto"/>
          <w:sz w:val="28"/>
        </w:rPr>
        <w:t xml:space="preserve">ее – обязательные требования), </w:t>
      </w:r>
      <w:r w:rsidR="00164FCE" w:rsidRPr="00FB3EF3">
        <w:rPr>
          <w:rFonts w:ascii="Times New Roman" w:eastAsia="Times New Roman" w:hAnsi="Times New Roman" w:cs="Times New Roman"/>
          <w:color w:val="auto"/>
          <w:sz w:val="28"/>
        </w:rPr>
        <w:t xml:space="preserve">соответствующего вида государственного контроля (надзора), вида разрешительной деятельности и предполагаемой ответственности за нарушение обязательных требований или последствиях их несоблюдения. </w:t>
      </w:r>
    </w:p>
    <w:p w:rsidR="00164FCE" w:rsidRPr="00FB3EF3" w:rsidRDefault="00164FCE" w:rsidP="00164FCE">
      <w:pPr>
        <w:spacing w:after="1" w:line="357" w:lineRule="auto"/>
        <w:ind w:left="-15" w:right="-8" w:firstLine="698"/>
        <w:jc w:val="both"/>
        <w:rPr>
          <w:color w:val="auto"/>
        </w:rPr>
      </w:pPr>
      <w:r w:rsidRPr="00FB3EF3">
        <w:rPr>
          <w:rFonts w:ascii="Times New Roman" w:eastAsia="Times New Roman" w:hAnsi="Times New Roman" w:cs="Times New Roman"/>
          <w:color w:val="auto"/>
          <w:sz w:val="28"/>
        </w:rPr>
        <w:t>П</w:t>
      </w:r>
      <w:r w:rsidR="0005669B" w:rsidRPr="00FB3EF3">
        <w:rPr>
          <w:rFonts w:ascii="Times New Roman" w:eastAsia="Times New Roman" w:hAnsi="Times New Roman" w:cs="Times New Roman"/>
          <w:color w:val="auto"/>
          <w:sz w:val="28"/>
        </w:rPr>
        <w:t>риказ</w:t>
      </w:r>
      <w:r w:rsidRPr="00FB3EF3">
        <w:rPr>
          <w:rFonts w:ascii="Times New Roman" w:eastAsia="Times New Roman" w:hAnsi="Times New Roman" w:cs="Times New Roman"/>
          <w:color w:val="auto"/>
          <w:sz w:val="28"/>
        </w:rPr>
        <w:t xml:space="preserve"> не противоречит положениям Договора о Евразийском экономическом союзе от 29 мая 2014 года, а также положениям иных международных договоров Российской Федерации. </w:t>
      </w:r>
    </w:p>
    <w:p w:rsidR="00FB7E88" w:rsidRPr="00CE243C" w:rsidRDefault="00FB7E88" w:rsidP="00FB7E88">
      <w:pPr>
        <w:pStyle w:val="pt-a-000002"/>
        <w:shd w:val="clear" w:color="auto" w:fill="FFFFFF"/>
        <w:spacing w:before="0" w:beforeAutospacing="0" w:after="0" w:afterAutospacing="0" w:line="360" w:lineRule="auto"/>
        <w:ind w:firstLine="706"/>
        <w:contextualSpacing/>
        <w:jc w:val="both"/>
        <w:rPr>
          <w:rStyle w:val="pt-a0-000003"/>
          <w:color w:val="000000"/>
          <w:sz w:val="28"/>
          <w:szCs w:val="28"/>
        </w:rPr>
      </w:pPr>
      <w:r w:rsidRPr="00FB7E88">
        <w:rPr>
          <w:rStyle w:val="pt-a0-000003"/>
          <w:color w:val="000000"/>
          <w:sz w:val="28"/>
          <w:szCs w:val="28"/>
        </w:rPr>
        <w:t>Принятие Проекта приказа не потребует дополнительных расходов со стороны субъектов электроэнергетики, потребителей электрической энергии, а также не потребует выделения средств из федерального бюджета и бюджетов субъектов Российской Федерации.</w:t>
      </w:r>
    </w:p>
    <w:p w:rsidR="00164FCE" w:rsidRPr="00FB3EF3" w:rsidRDefault="00164FCE" w:rsidP="00164FCE">
      <w:pPr>
        <w:spacing w:after="1" w:line="357" w:lineRule="auto"/>
        <w:ind w:left="-15" w:right="-8" w:firstLine="698"/>
        <w:jc w:val="both"/>
        <w:rPr>
          <w:color w:val="auto"/>
        </w:rPr>
      </w:pPr>
      <w:r w:rsidRPr="00FB3EF3">
        <w:rPr>
          <w:rFonts w:ascii="Times New Roman" w:eastAsia="Times New Roman" w:hAnsi="Times New Roman" w:cs="Times New Roman"/>
          <w:color w:val="auto"/>
          <w:sz w:val="28"/>
        </w:rPr>
        <w:t>Приказ не повлияет на достижение целей государственных</w:t>
      </w:r>
      <w:r w:rsidR="007B49F4">
        <w:rPr>
          <w:rFonts w:ascii="Times New Roman" w:eastAsia="Times New Roman" w:hAnsi="Times New Roman" w:cs="Times New Roman"/>
          <w:color w:val="auto"/>
          <w:sz w:val="28"/>
        </w:rPr>
        <w:t xml:space="preserve"> программ Российской Федерации.</w:t>
      </w:r>
    </w:p>
    <w:sectPr w:rsidR="00164FCE" w:rsidRPr="00FB3EF3" w:rsidSect="007B49F4">
      <w:headerReference w:type="default" r:id="rId8"/>
      <w:pgSz w:w="11906" w:h="16838"/>
      <w:pgMar w:top="1134" w:right="707" w:bottom="1134" w:left="1276" w:header="45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27C3" w:rsidRDefault="00B027C3" w:rsidP="00FB7E88">
      <w:pPr>
        <w:spacing w:after="0" w:line="240" w:lineRule="auto"/>
      </w:pPr>
      <w:r>
        <w:separator/>
      </w:r>
    </w:p>
  </w:endnote>
  <w:endnote w:type="continuationSeparator" w:id="0">
    <w:p w:rsidR="00B027C3" w:rsidRDefault="00B027C3" w:rsidP="00FB7E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27C3" w:rsidRDefault="00B027C3" w:rsidP="00FB7E88">
      <w:pPr>
        <w:spacing w:after="0" w:line="240" w:lineRule="auto"/>
      </w:pPr>
      <w:r>
        <w:separator/>
      </w:r>
    </w:p>
  </w:footnote>
  <w:footnote w:type="continuationSeparator" w:id="0">
    <w:p w:rsidR="00B027C3" w:rsidRDefault="00B027C3" w:rsidP="00FB7E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64264198"/>
      <w:docPartObj>
        <w:docPartGallery w:val="Page Numbers (Top of Page)"/>
        <w:docPartUnique/>
      </w:docPartObj>
    </w:sdtPr>
    <w:sdtEndPr/>
    <w:sdtContent>
      <w:p w:rsidR="007B49F4" w:rsidRPr="007B49F4" w:rsidRDefault="007B49F4" w:rsidP="007B49F4">
        <w:pPr>
          <w:pStyle w:val="a4"/>
          <w:jc w:val="center"/>
        </w:pPr>
        <w:r w:rsidRPr="007B49F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7B49F4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7B49F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32C73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7B49F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D25930"/>
    <w:multiLevelType w:val="hybridMultilevel"/>
    <w:tmpl w:val="F8C2DC2E"/>
    <w:lvl w:ilvl="0" w:tplc="4A8E84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543590A"/>
    <w:multiLevelType w:val="hybridMultilevel"/>
    <w:tmpl w:val="A574C23A"/>
    <w:lvl w:ilvl="0" w:tplc="2A5C73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CB575BF"/>
    <w:multiLevelType w:val="hybridMultilevel"/>
    <w:tmpl w:val="1130CD38"/>
    <w:lvl w:ilvl="0" w:tplc="5A58346A">
      <w:start w:val="1"/>
      <w:numFmt w:val="decimal"/>
      <w:lvlText w:val="%1)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FA5"/>
    <w:rsid w:val="00047264"/>
    <w:rsid w:val="0005669B"/>
    <w:rsid w:val="00164FCE"/>
    <w:rsid w:val="0017761A"/>
    <w:rsid w:val="001871F8"/>
    <w:rsid w:val="0036634A"/>
    <w:rsid w:val="004201CE"/>
    <w:rsid w:val="004919F4"/>
    <w:rsid w:val="004D6FAC"/>
    <w:rsid w:val="004E2C3F"/>
    <w:rsid w:val="005D71D4"/>
    <w:rsid w:val="006A52B3"/>
    <w:rsid w:val="006C76E3"/>
    <w:rsid w:val="006D3605"/>
    <w:rsid w:val="006E4260"/>
    <w:rsid w:val="0074602E"/>
    <w:rsid w:val="007710C2"/>
    <w:rsid w:val="007B49F4"/>
    <w:rsid w:val="00852F9E"/>
    <w:rsid w:val="00863DE2"/>
    <w:rsid w:val="00867AB0"/>
    <w:rsid w:val="008B3495"/>
    <w:rsid w:val="00961307"/>
    <w:rsid w:val="00985EF0"/>
    <w:rsid w:val="009A3FA5"/>
    <w:rsid w:val="009C3A54"/>
    <w:rsid w:val="00B027C3"/>
    <w:rsid w:val="00B06FD7"/>
    <w:rsid w:val="00BB5848"/>
    <w:rsid w:val="00C118A1"/>
    <w:rsid w:val="00C603FD"/>
    <w:rsid w:val="00CD70A5"/>
    <w:rsid w:val="00CE243C"/>
    <w:rsid w:val="00D537EA"/>
    <w:rsid w:val="00D575EF"/>
    <w:rsid w:val="00E110FC"/>
    <w:rsid w:val="00E13813"/>
    <w:rsid w:val="00E32C73"/>
    <w:rsid w:val="00F02F45"/>
    <w:rsid w:val="00FB3EF3"/>
    <w:rsid w:val="00FB7E88"/>
    <w:rsid w:val="00FF3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32A5EE46-3C9C-4109-9D53-2B9AD039C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2F9E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52F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47264"/>
    <w:pPr>
      <w:spacing w:after="200" w:line="276" w:lineRule="auto"/>
      <w:ind w:left="720"/>
      <w:contextualSpacing/>
    </w:pPr>
    <w:rPr>
      <w:rFonts w:ascii="Times New Roman" w:hAnsi="Times New Roman" w:cs="Times New Roman"/>
      <w:color w:val="auto"/>
      <w:sz w:val="28"/>
      <w:szCs w:val="28"/>
      <w:lang w:eastAsia="en-US"/>
    </w:rPr>
  </w:style>
  <w:style w:type="paragraph" w:customStyle="1" w:styleId="pt-a-000002">
    <w:name w:val="pt-a-000002"/>
    <w:basedOn w:val="a"/>
    <w:rsid w:val="00177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pt-a0-000003">
    <w:name w:val="pt-a0-000003"/>
    <w:rsid w:val="0017761A"/>
  </w:style>
  <w:style w:type="paragraph" w:styleId="a4">
    <w:name w:val="header"/>
    <w:basedOn w:val="a"/>
    <w:link w:val="a5"/>
    <w:uiPriority w:val="99"/>
    <w:unhideWhenUsed/>
    <w:rsid w:val="00FB7E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B7E88"/>
    <w:rPr>
      <w:rFonts w:ascii="Calibri" w:eastAsia="Calibri" w:hAnsi="Calibri" w:cs="Calibri"/>
      <w:color w:val="000000"/>
      <w:lang w:eastAsia="ru-RU"/>
    </w:rPr>
  </w:style>
  <w:style w:type="paragraph" w:styleId="a6">
    <w:name w:val="footer"/>
    <w:basedOn w:val="a"/>
    <w:link w:val="a7"/>
    <w:uiPriority w:val="99"/>
    <w:unhideWhenUsed/>
    <w:rsid w:val="00FB7E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B7E88"/>
    <w:rPr>
      <w:rFonts w:ascii="Calibri" w:eastAsia="Calibri" w:hAnsi="Calibri" w:cs="Calibri"/>
      <w:color w:val="000000"/>
      <w:lang w:eastAsia="ru-RU"/>
    </w:rPr>
  </w:style>
  <w:style w:type="character" w:customStyle="1" w:styleId="pt-a0">
    <w:name w:val="pt-a0"/>
    <w:basedOn w:val="a0"/>
    <w:rsid w:val="0074602E"/>
  </w:style>
  <w:style w:type="paragraph" w:styleId="a8">
    <w:name w:val="Balloon Text"/>
    <w:basedOn w:val="a"/>
    <w:link w:val="a9"/>
    <w:uiPriority w:val="99"/>
    <w:semiHidden/>
    <w:unhideWhenUsed/>
    <w:rsid w:val="00746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4602E"/>
    <w:rPr>
      <w:rFonts w:ascii="Segoe UI" w:eastAsia="Calibri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491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F6359A-C924-4C52-9A6B-523B46432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Осинцев Михаил Анатольевич</dc:creator>
  <cp:keywords/>
  <dc:description/>
  <cp:lastModifiedBy>БОЧКАРЕВА Елена Вадимовна</cp:lastModifiedBy>
  <cp:revision>2</cp:revision>
  <dcterms:created xsi:type="dcterms:W3CDTF">2022-11-03T14:04:00Z</dcterms:created>
  <dcterms:modified xsi:type="dcterms:W3CDTF">2022-11-03T14:04:00Z</dcterms:modified>
</cp:coreProperties>
</file>